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C5A" w:rsidRPr="005D1AA2" w:rsidRDefault="00E85345" w:rsidP="00E85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AA2">
        <w:rPr>
          <w:rFonts w:ascii="Times New Roman" w:hAnsi="Times New Roman" w:cs="Times New Roman"/>
          <w:b/>
          <w:sz w:val="28"/>
          <w:szCs w:val="28"/>
        </w:rPr>
        <w:t>Индекс ОГЭ в разрезе МСУ Зеленым цветом обозначен верхний квартиль значений (25% самых высоких), красным – нижний квартиль (25% самых низких).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85345" w:rsidTr="00E85345">
        <w:tc>
          <w:tcPr>
            <w:tcW w:w="1869" w:type="dxa"/>
          </w:tcPr>
          <w:p w:rsidR="00E85345" w:rsidRPr="005D1AA2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sz w:val="24"/>
                <w:szCs w:val="24"/>
              </w:rPr>
              <w:t>Код МСУ</w:t>
            </w:r>
          </w:p>
        </w:tc>
        <w:tc>
          <w:tcPr>
            <w:tcW w:w="1869" w:type="dxa"/>
          </w:tcPr>
          <w:p w:rsidR="00E85345" w:rsidRPr="005D1AA2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869" w:type="dxa"/>
          </w:tcPr>
          <w:p w:rsidR="00E85345" w:rsidRPr="005D1AA2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sz w:val="24"/>
                <w:szCs w:val="24"/>
              </w:rPr>
              <w:t>Индекс ОГЭ-22</w:t>
            </w:r>
          </w:p>
        </w:tc>
        <w:tc>
          <w:tcPr>
            <w:tcW w:w="1869" w:type="dxa"/>
          </w:tcPr>
          <w:p w:rsidR="00E85345" w:rsidRPr="005D1AA2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sz w:val="24"/>
                <w:szCs w:val="24"/>
              </w:rPr>
              <w:t>Индекс ОГЭ-23</w:t>
            </w:r>
          </w:p>
        </w:tc>
        <w:tc>
          <w:tcPr>
            <w:tcW w:w="1869" w:type="dxa"/>
          </w:tcPr>
          <w:p w:rsidR="005D1AA2" w:rsidRPr="005D1AA2" w:rsidRDefault="005D1AA2" w:rsidP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  <w:p w:rsidR="00E85345" w:rsidRPr="005D1AA2" w:rsidRDefault="00E85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45" w:rsidTr="00E85345">
        <w:tc>
          <w:tcPr>
            <w:tcW w:w="1869" w:type="dxa"/>
          </w:tcPr>
          <w:p w:rsidR="00E85345" w:rsidRPr="005D1AA2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69" w:type="dxa"/>
          </w:tcPr>
          <w:p w:rsidR="00E85345" w:rsidRPr="005D1AA2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sz w:val="24"/>
                <w:szCs w:val="24"/>
              </w:rPr>
              <w:t>ГО Пелым</w:t>
            </w:r>
          </w:p>
        </w:tc>
        <w:tc>
          <w:tcPr>
            <w:tcW w:w="1869" w:type="dxa"/>
          </w:tcPr>
          <w:p w:rsidR="00E85345" w:rsidRPr="005D1AA2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50.34%</w:t>
            </w:r>
          </w:p>
        </w:tc>
        <w:tc>
          <w:tcPr>
            <w:tcW w:w="1869" w:type="dxa"/>
          </w:tcPr>
          <w:p w:rsidR="00E85345" w:rsidRPr="005D1AA2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sz w:val="24"/>
                <w:szCs w:val="24"/>
              </w:rPr>
              <w:t>55.48%</w:t>
            </w:r>
          </w:p>
        </w:tc>
        <w:tc>
          <w:tcPr>
            <w:tcW w:w="1869" w:type="dxa"/>
          </w:tcPr>
          <w:p w:rsidR="00E85345" w:rsidRPr="005D1AA2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A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5.15%</w:t>
            </w:r>
          </w:p>
        </w:tc>
      </w:tr>
    </w:tbl>
    <w:p w:rsidR="00ED4C5A" w:rsidRDefault="00ED4C5A"/>
    <w:p w:rsidR="00ED4C5A" w:rsidRDefault="00ED4C5A"/>
    <w:p w:rsidR="005D1AA2" w:rsidRDefault="005D1AA2">
      <w:pPr>
        <w:rPr>
          <w:rFonts w:ascii="Times New Roman" w:hAnsi="Times New Roman" w:cs="Times New Roman"/>
          <w:b/>
          <w:sz w:val="28"/>
          <w:szCs w:val="28"/>
        </w:rPr>
      </w:pPr>
      <w:r w:rsidRPr="005D1AA2">
        <w:rPr>
          <w:rFonts w:ascii="Times New Roman" w:hAnsi="Times New Roman" w:cs="Times New Roman"/>
          <w:b/>
          <w:sz w:val="28"/>
          <w:szCs w:val="28"/>
        </w:rPr>
        <w:t>Индексы ВПР ООО в разрезе ОО Зеленым цветом выделены индексы базового и высокого уровня подготовки, достигающие целевого значения.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D1AA2" w:rsidTr="005D1AA2">
        <w:tc>
          <w:tcPr>
            <w:tcW w:w="3115" w:type="dxa"/>
          </w:tcPr>
          <w:p w:rsidR="005D1AA2" w:rsidRPr="004E3337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33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115" w:type="dxa"/>
          </w:tcPr>
          <w:p w:rsidR="005D1AA2" w:rsidRPr="004E3337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337">
              <w:rPr>
                <w:rFonts w:ascii="Times New Roman" w:hAnsi="Times New Roman" w:cs="Times New Roman"/>
                <w:sz w:val="24"/>
                <w:szCs w:val="24"/>
              </w:rPr>
              <w:t>Баз.</w:t>
            </w:r>
          </w:p>
        </w:tc>
        <w:tc>
          <w:tcPr>
            <w:tcW w:w="3115" w:type="dxa"/>
          </w:tcPr>
          <w:p w:rsidR="005D1AA2" w:rsidRPr="004E3337" w:rsidRDefault="005D1AA2" w:rsidP="005D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3337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4E3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AA2" w:rsidRPr="004E3337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AA2" w:rsidTr="005D1AA2">
        <w:tc>
          <w:tcPr>
            <w:tcW w:w="3115" w:type="dxa"/>
          </w:tcPr>
          <w:p w:rsidR="005D1AA2" w:rsidRPr="004E3337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337">
              <w:rPr>
                <w:rFonts w:ascii="Times New Roman" w:hAnsi="Times New Roman" w:cs="Times New Roman"/>
                <w:sz w:val="24"/>
                <w:szCs w:val="24"/>
              </w:rPr>
              <w:t>edu660886</w:t>
            </w:r>
          </w:p>
        </w:tc>
        <w:tc>
          <w:tcPr>
            <w:tcW w:w="3115" w:type="dxa"/>
          </w:tcPr>
          <w:p w:rsidR="005D1AA2" w:rsidRPr="004E3337" w:rsidRDefault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33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76,79%</w:t>
            </w:r>
          </w:p>
        </w:tc>
        <w:tc>
          <w:tcPr>
            <w:tcW w:w="3115" w:type="dxa"/>
          </w:tcPr>
          <w:p w:rsidR="005D1AA2" w:rsidRPr="004E3337" w:rsidRDefault="005D1AA2" w:rsidP="005D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337">
              <w:rPr>
                <w:rFonts w:ascii="Times New Roman" w:hAnsi="Times New Roman" w:cs="Times New Roman"/>
                <w:sz w:val="24"/>
                <w:szCs w:val="24"/>
              </w:rPr>
              <w:t>3,07%</w:t>
            </w:r>
          </w:p>
          <w:p w:rsidR="005D1AA2" w:rsidRPr="004E3337" w:rsidRDefault="005D1AA2" w:rsidP="005D1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AA2" w:rsidRDefault="005D1AA2"/>
    <w:p w:rsidR="004E3337" w:rsidRPr="004E3337" w:rsidRDefault="004E3337" w:rsidP="004E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337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Проследим выполнение задач, предусмотренных программой мониторинга: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1. Проанализировать объективность полученных результатов;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2. Проанализировать показатели базового уровня предметной подготовки на уровне основного общего образования;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3. Проанализировать показатели высокого уровня предметной подготовки на уровне основного общего образования;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4. Оценить достижение региональных целей по направлению 1.1. РСОКО;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>5. Проанализировать взаимосвязь между контекстными показателями и показателями, характеризующими результаты освоения ФГОС ООО.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 Выводы по задаче 1: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В целом, результаты ВПР и ОГЭ характеризуются высокой объективностью и пригодностью для анализа. При этом в распределениях первичных баллов наблюдается достаточно много резких переходов на границах между отметками (в ВПР – на всех границах, в ОГЭ – на границе между отметками «2» и «3»), что свидетельствует о завышении результатов в ряде случаев.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Выводы по задачам 2 и 3: </w:t>
      </w:r>
    </w:p>
    <w:p w:rsidR="005D1AA2" w:rsidRP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В целом, на протяжении 2021-2023 годов в результатах ОГЭ и ВПР на уровне основного общего образования наблюдаются преимущественно положительные тенденции. При этом на основе полученных результатов </w:t>
      </w:r>
      <w:r w:rsidRPr="004E3337">
        <w:rPr>
          <w:rFonts w:ascii="Times New Roman" w:hAnsi="Times New Roman" w:cs="Times New Roman"/>
          <w:sz w:val="28"/>
          <w:szCs w:val="28"/>
        </w:rPr>
        <w:lastRenderedPageBreak/>
        <w:t>базового и высокого уровня подготовки учебные предметы можно разделить на три группы.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К первой группе можно отнести учебные предметы с преимущественно положительной динамикой. Это информатика, дисциплины естественнонаучного цикла, литература, английский и немецкий языки.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Ко второй группе можно отнести учебные предметы со смешанными тенденциями. Это история, русский и французский языки.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>К третьей группе можно отнести учебные предметы с преимущественно негативными тенденциями. Это математика и обществознание.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Выводы по задаче 4: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Региональная цель по обеспечению положительной динамики предметных результатов на уровне основного общего образования достигнута: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индекс ВПР базового уровня подготовки вырос с 72,42% до 75,95%;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 </w:t>
      </w: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индекс ВПР высокого уровня подготовки вырос с 5,23% до 5,44%;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 </w:t>
      </w: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индекс ОГЭ базового уровня подготовки вырос с 90,53% до 94,78%;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индекс ОГЭ высокого уровня подготовки вырос с 17,43% до 17,76%. Целевые значения достигнуты по всем индексам, кроме индекса ВПР высокого уровня подготовки. При этом: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 </w:t>
      </w: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целевое значение индексов базового уровня подготовки достигается на ОГЭ по всем учебным предметам, на ВПР – во всех параллелях только по обществознанию и химии. По математике в 6-8-х классах, биологии в 6-7-х классах, истории в 6-х классах, географии в 7-8-х классах результаты не достигают целевого значения;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целевое значение индексов высокого уровня подготовки на ОГЭ достигается только по химии, литературе, английскому, немецкому и русскому языкам; на ВПР ни по одному учебному предмету ни в одной из параллелей целевое значение не достигается.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>Таким образом, наиболее проблемными областями в предметных результатах на уровне основного общего образования можно считать математическую подготовку, результаты в 7-х классах, а также низкую долю результатов высокого уровня.</w:t>
      </w:r>
    </w:p>
    <w:p w:rsidR="004E3337" w:rsidRP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>Выводы по задаче 5: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 В результатах ОГЭ и ВПР была выявлена значимая положительная корреляция результатов с кадровыми, материально-техническими, финансовыми ресурсами образовательных организаций.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lastRenderedPageBreak/>
        <w:t>В качестве положительной тенденции следует отметить, что по сравнению с предыдущим годом снизилась зависимость предметных результатов основного общего образования от размера школы (по количеству обучающихся), которая во многом связана с размером населенного пункта, в котором ОО расположена, и во многом определяет ресурсы, которыми она располагает. Тем не менее сохраняется значимая разница в результатах сельских и городских школ, а также в целом между школами в зависимости от объема имеющихся ресурсов. 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337">
        <w:rPr>
          <w:rFonts w:ascii="Times New Roman" w:hAnsi="Times New Roman" w:cs="Times New Roman"/>
          <w:sz w:val="28"/>
          <w:szCs w:val="28"/>
        </w:rPr>
        <w:t xml:space="preserve">образом, для повышения образовательного равенства и качества основного общего образования требуются дополнительные меры поддержки школам, имеющим ресурсные дефициты.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В качестве негативной тенденции следует отметить увеличение отрицательной корреляции результатов с долей обучающихся по адаптированным образовательным программам. Из данных статистики следует, что потребность в создании условий для эффективной реализации АОП растет, однако предпринимаемые меры недостаточны для нивелирования соответствующих рисков.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>На основании полученных выводов можно дать следующие рекомендации.</w:t>
      </w:r>
    </w:p>
    <w:p w:rsidR="004E3337" w:rsidRPr="004E3337" w:rsidRDefault="004E3337" w:rsidP="004E33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337">
        <w:rPr>
          <w:rFonts w:ascii="Times New Roman" w:hAnsi="Times New Roman" w:cs="Times New Roman"/>
          <w:b/>
          <w:sz w:val="28"/>
          <w:szCs w:val="28"/>
        </w:rPr>
        <w:t xml:space="preserve">Всем органам местного самоуправления, осуществляющим управление в сфере образования на муниципальном уровне: </w:t>
      </w:r>
    </w:p>
    <w:p w:rsidR="004E3337" w:rsidRP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изучить статистико-аналитические отчеты региональных предметных комиссий с содержательным анализом результатов ВПР и ОГЭ по учебным предметам; </w:t>
      </w:r>
    </w:p>
    <w:p w:rsidR="004E3337" w:rsidRP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использовать представленные данные для мониторинга качества подготовки обучающихся ООО на муниципальном уровне;</w:t>
      </w:r>
    </w:p>
    <w:p w:rsidR="004E3337" w:rsidRP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 </w:t>
      </w: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ознакомиться с индексами ВПР общеобразовательных организаций муниципального образования, с учетом контекста функционирования образовательных организаций оценить эффективность принятых мер по повышению качества предметной подготовки обучающихся основного общего образования;</w:t>
      </w:r>
    </w:p>
    <w:p w:rsidR="004E3337" w:rsidRP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 </w:t>
      </w: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предпринять меры по увеличению доли обучающихся в первую смену;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предпринять меры по повышению </w:t>
      </w:r>
      <w:r w:rsidRPr="004E3337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4E3337">
        <w:rPr>
          <w:rFonts w:ascii="Times New Roman" w:hAnsi="Times New Roman" w:cs="Times New Roman"/>
          <w:sz w:val="28"/>
          <w:szCs w:val="28"/>
        </w:rPr>
        <w:t xml:space="preserve"> обучающихся основного общего образования, особое внимание обратив на: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>o подготовку базового уровня по учебным предметам, в рамках которых формируются навыки, обеспечивающие технологический суверенитет страны (математика, физика, информатика, химия).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lastRenderedPageBreak/>
        <w:t xml:space="preserve"> o подготовку высокого уровня по всем учебным предметам (например, через организацию углубленного изучения предметов, соответствующее повышение квалификации педагогов, повышение эффективности системы выявления, поддержки и развития талантов и </w:t>
      </w:r>
      <w:r w:rsidRPr="004E3337">
        <w:rPr>
          <w:rFonts w:ascii="Times New Roman" w:hAnsi="Times New Roman" w:cs="Times New Roman"/>
          <w:sz w:val="28"/>
          <w:szCs w:val="28"/>
        </w:rPr>
        <w:t>способностей,</w:t>
      </w:r>
      <w:r w:rsidRPr="004E3337">
        <w:rPr>
          <w:rFonts w:ascii="Times New Roman" w:hAnsi="Times New Roman" w:cs="Times New Roman"/>
          <w:sz w:val="28"/>
          <w:szCs w:val="28"/>
        </w:rPr>
        <w:t xml:space="preserve"> обучающихся);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o подготовку обучающихся 7-х классов, прежде всего, через мотивационный компонент работы педагогов с учетом соответствующих возрастных особенностей;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o эффективность ВСОКО в общеобразовательных организациях с низкими индексами ВПР и ОГЭ;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o повышение квалификации учителей, работающих на уровне основного общего образования, в области предметных компетенций, а также в реализации адаптированных образовательных программ;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>o необходимость дополнительных мер поддержки для ОО, имеющих ресурсные дефициты, прежде всего сельских малокомплектных ОО.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продолжать предпринимать меры по повышению объективности результатов ВПР как в части процедуры проведения, так и в отношении оценивания развернутых ответов участников; </w:t>
      </w: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способствовать прохождению учителями в муниципалитете диагностики профессиональных компетенций, составлению и реализации индивидуальных образовательных маршрутов педагогов. </w:t>
      </w:r>
    </w:p>
    <w:p w:rsidR="004E3337" w:rsidRPr="004E3337" w:rsidRDefault="004E3337" w:rsidP="004E33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337">
        <w:rPr>
          <w:rFonts w:ascii="Times New Roman" w:hAnsi="Times New Roman" w:cs="Times New Roman"/>
          <w:b/>
          <w:sz w:val="28"/>
          <w:szCs w:val="28"/>
        </w:rPr>
        <w:t xml:space="preserve">Органам местного самоуправления с высоким индексом ВПР: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организовать подготовку описания успешного опыта педагогов по формированию </w:t>
      </w:r>
      <w:r w:rsidRPr="004E3337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4E3337">
        <w:rPr>
          <w:rFonts w:ascii="Times New Roman" w:hAnsi="Times New Roman" w:cs="Times New Roman"/>
          <w:sz w:val="28"/>
          <w:szCs w:val="28"/>
        </w:rPr>
        <w:t xml:space="preserve"> обучающихся для публикации на региональных ресурсах;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представить успешный опыт по формированию </w:t>
      </w:r>
      <w:r w:rsidRPr="004E3337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4E3337">
        <w:rPr>
          <w:rFonts w:ascii="Times New Roman" w:hAnsi="Times New Roman" w:cs="Times New Roman"/>
          <w:sz w:val="28"/>
          <w:szCs w:val="28"/>
        </w:rPr>
        <w:t xml:space="preserve"> обучающихся ООО в рамках вебинаров и других мероприятий по вопросам РСОКО в 2023 году;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подготовить соответствующие программы стажировки для включения в региональный проект «Образовательный тур», соответствующие программы повышения квалификации ГАОУ ДПО СО «ИРО»;</w:t>
      </w:r>
    </w:p>
    <w:p w:rsidR="004E3337" w:rsidRPr="004E3337" w:rsidRDefault="004E3337" w:rsidP="004E33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337">
        <w:rPr>
          <w:rFonts w:ascii="Times New Roman" w:hAnsi="Times New Roman" w:cs="Times New Roman"/>
          <w:b/>
          <w:sz w:val="28"/>
          <w:szCs w:val="28"/>
        </w:rPr>
        <w:t>Органам местного самоуправления с низким индексом ВПР: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t xml:space="preserve"> </w:t>
      </w: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совместно с управленческими командами муниципальных образовательных организаций пересмотреть дорожные карты, комплексы мер по реализации МСОКО, усилив внимание к вопросам повышения квалификации педагогов и реализации индивидуальных образовательных маршрутов педагогов, содержанию методических объединений </w:t>
      </w:r>
      <w:r w:rsidRPr="004E333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и школьного уровней по вопросам формирования </w:t>
      </w:r>
      <w:r w:rsidRPr="004E3337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4E3337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инициировать разработку и организовать реализацию управленческих, педагогических проектов по улучшению предметных результатов обучающихся, профессиональных компетенций педагогов по развитию предметных результатов обучения;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разработать программы внутришкольного контроля, направленные на изучение качества работы учителей по формированию предметных результатов. Муниципальным методическим службам, профессиональным сообществам: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на основе статистико-аналитических отчетов в разрезе муниципальных образований выявить дефициты, характерные для обучающихся муниципалитета;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спланировать методическую работу на муниципальном уровне на основе выявленных специфических дефицитов на муниципальном уровне и с учетом региональной проблематики.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b/>
          <w:sz w:val="28"/>
          <w:szCs w:val="28"/>
        </w:rPr>
        <w:t>Общеобразовательным организациям:</w:t>
      </w:r>
      <w:r w:rsidRPr="004E3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использовать представленные данные для мониторинга качества подготовки обучающихся ООО в рамках ВСОКО;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ознакомиться со своими индексами ВПР и ОГЭ, оценить эффективность принятых мер по повышению качества предметной подготовки 31 обучающихся;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на основе статистико-аналитических отчетов провести углублённый анализ результатов ВПР, используя методику уровневого анализа с целью определения типичных учебных затруднений и дефицитов в целом и конкретно в различных группах учащихся; </w:t>
      </w:r>
    </w:p>
    <w:p w:rsidR="004E3337" w:rsidRDefault="004E3337" w:rsidP="004E3337">
      <w:pPr>
        <w:jc w:val="both"/>
        <w:rPr>
          <w:rFonts w:ascii="Times New Roman" w:hAnsi="Times New Roman" w:cs="Times New Roman"/>
          <w:sz w:val="28"/>
          <w:szCs w:val="28"/>
        </w:rPr>
      </w:pPr>
      <w:r w:rsidRPr="004E3337">
        <w:rPr>
          <w:rFonts w:ascii="Times New Roman" w:hAnsi="Times New Roman" w:cs="Times New Roman"/>
          <w:sz w:val="28"/>
          <w:szCs w:val="28"/>
        </w:rPr>
        <w:sym w:font="Symbol" w:char="F0BE"/>
      </w:r>
      <w:r w:rsidRPr="004E3337">
        <w:rPr>
          <w:rFonts w:ascii="Times New Roman" w:hAnsi="Times New Roman" w:cs="Times New Roman"/>
          <w:sz w:val="28"/>
          <w:szCs w:val="28"/>
        </w:rPr>
        <w:t xml:space="preserve"> на основании данного анализа конкретизировать управленческие, педагогические, методические задания на предстоящий ученый год</w:t>
      </w:r>
      <w:r w:rsidR="00E66AD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66AD2" w:rsidRPr="004E3337" w:rsidRDefault="00E66AD2" w:rsidP="004E33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66AD2" w:rsidRPr="004E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6A"/>
    <w:rsid w:val="004E3337"/>
    <w:rsid w:val="005D1AA2"/>
    <w:rsid w:val="0067436A"/>
    <w:rsid w:val="00825323"/>
    <w:rsid w:val="00B87F6F"/>
    <w:rsid w:val="00E66AD2"/>
    <w:rsid w:val="00E85345"/>
    <w:rsid w:val="00ED4C5A"/>
    <w:rsid w:val="00FE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2E27"/>
  <w15:chartTrackingRefBased/>
  <w15:docId w15:val="{5E8D91E4-AC98-40C6-A8F2-9FD1C3C9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5</cp:revision>
  <dcterms:created xsi:type="dcterms:W3CDTF">2023-08-31T06:39:00Z</dcterms:created>
  <dcterms:modified xsi:type="dcterms:W3CDTF">2023-08-31T09:19:00Z</dcterms:modified>
</cp:coreProperties>
</file>